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69945F83" w:rsidR="002B4F4A" w:rsidRPr="00237B3A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237B3A">
        <w:rPr>
          <w:rFonts w:ascii="Verdana" w:hAnsi="Verdana"/>
          <w:b/>
          <w:bCs/>
          <w:sz w:val="20"/>
          <w:szCs w:val="20"/>
        </w:rPr>
        <w:t>PARTE</w:t>
      </w:r>
      <w:r w:rsidR="00A41E5E" w:rsidRPr="00237B3A">
        <w:rPr>
          <w:rFonts w:ascii="Verdana" w:hAnsi="Verdana"/>
          <w:b/>
          <w:bCs/>
          <w:sz w:val="20"/>
          <w:szCs w:val="20"/>
        </w:rPr>
        <w:t xml:space="preserve"> </w:t>
      </w:r>
      <w:r w:rsidR="00B56612" w:rsidRPr="00237B3A">
        <w:rPr>
          <w:rFonts w:ascii="Verdana" w:hAnsi="Verdana"/>
          <w:b/>
          <w:bCs/>
          <w:sz w:val="20"/>
          <w:szCs w:val="20"/>
        </w:rPr>
        <w:t>2</w:t>
      </w:r>
    </w:p>
    <w:p w14:paraId="6000F327" w14:textId="65F86142" w:rsidR="0006736C" w:rsidRPr="00237B3A" w:rsidRDefault="00B5661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237B3A">
        <w:rPr>
          <w:rFonts w:ascii="Verdana" w:hAnsi="Verdana"/>
          <w:b/>
          <w:bCs/>
          <w:sz w:val="20"/>
          <w:szCs w:val="20"/>
        </w:rPr>
        <w:t>CONTROLES DE LEY Y ASUNTOS PRUDENCIALES</w:t>
      </w:r>
    </w:p>
    <w:p w14:paraId="1BF07C81" w14:textId="77777777" w:rsidR="00721D02" w:rsidRPr="00237B3A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4974BD02" w:rsidR="00A41E5E" w:rsidRPr="00237B3A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237B3A">
        <w:rPr>
          <w:rFonts w:ascii="Verdana" w:hAnsi="Verdana"/>
          <w:b/>
          <w:bCs/>
          <w:sz w:val="20"/>
          <w:szCs w:val="20"/>
        </w:rPr>
        <w:t xml:space="preserve">CAPÍTULO </w:t>
      </w:r>
      <w:r w:rsidR="00B56612" w:rsidRPr="00237B3A">
        <w:rPr>
          <w:rFonts w:ascii="Verdana" w:hAnsi="Verdana"/>
          <w:b/>
          <w:bCs/>
          <w:sz w:val="20"/>
          <w:szCs w:val="20"/>
        </w:rPr>
        <w:t>6</w:t>
      </w:r>
    </w:p>
    <w:p w14:paraId="47F5AEBE" w14:textId="77777777" w:rsidR="00237B3A" w:rsidRPr="00237B3A" w:rsidRDefault="00237B3A" w:rsidP="00237B3A">
      <w:pPr>
        <w:jc w:val="center"/>
        <w:rPr>
          <w:rFonts w:ascii="Verdana" w:hAnsi="Verdana" w:cs="Arial"/>
          <w:b/>
          <w:sz w:val="20"/>
          <w:szCs w:val="20"/>
        </w:rPr>
      </w:pPr>
      <w:r w:rsidRPr="00237B3A">
        <w:rPr>
          <w:rFonts w:ascii="Verdana" w:hAnsi="Verdana" w:cs="Arial"/>
          <w:b/>
          <w:sz w:val="20"/>
          <w:szCs w:val="20"/>
        </w:rPr>
        <w:t>RELACIÓN DE SOLVENCIA DE LAS SECCIONES ESPECIALIZADAS DE AHORRO Y CRÉDITO DE LAS CAJAS DE COMPENSACIÓN FAMILIAR</w:t>
      </w:r>
    </w:p>
    <w:p w14:paraId="3F9900A3" w14:textId="018AE166" w:rsidR="00DA0C0E" w:rsidRPr="00237B3A" w:rsidRDefault="00DA0C0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22169F8D" w14:textId="77777777" w:rsidR="00414B05" w:rsidRPr="00237B3A" w:rsidRDefault="00414B05" w:rsidP="00672511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237B3A">
        <w:rPr>
          <w:rFonts w:ascii="Verdana" w:hAnsi="Verdana" w:cs="Arial"/>
          <w:b/>
          <w:bCs/>
          <w:sz w:val="20"/>
          <w:szCs w:val="20"/>
          <w:lang w:val="es-ES"/>
        </w:rPr>
        <w:t>Ámbito de aplicación</w:t>
      </w:r>
    </w:p>
    <w:p w14:paraId="58F3AAE1" w14:textId="77777777" w:rsidR="00414B05" w:rsidRPr="00237B3A" w:rsidRDefault="00414B05" w:rsidP="00414B05">
      <w:pPr>
        <w:jc w:val="both"/>
        <w:rPr>
          <w:rFonts w:ascii="Verdana" w:hAnsi="Verdana" w:cs="Arial"/>
          <w:b/>
          <w:bCs/>
          <w:sz w:val="20"/>
          <w:szCs w:val="20"/>
          <w:lang w:val="es-ES"/>
        </w:rPr>
      </w:pPr>
    </w:p>
    <w:p w14:paraId="6663E060" w14:textId="77777777" w:rsidR="00672511" w:rsidRPr="00C47C65" w:rsidRDefault="00672511" w:rsidP="00C47C65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C47C65">
        <w:rPr>
          <w:rFonts w:ascii="Verdana" w:hAnsi="Verdana" w:cs="Arial"/>
          <w:bCs/>
          <w:sz w:val="20"/>
          <w:szCs w:val="20"/>
        </w:rPr>
        <w:t>2.6.1.</w:t>
      </w:r>
    </w:p>
    <w:p w14:paraId="16EF5E98" w14:textId="4CC4AA85" w:rsidR="00414B05" w:rsidRPr="00237B3A" w:rsidRDefault="00414B05" w:rsidP="00C47C65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sz w:val="20"/>
          <w:szCs w:val="20"/>
          <w:lang w:val="es-ES"/>
        </w:rPr>
      </w:pPr>
      <w:r w:rsidRPr="13BE91A2">
        <w:rPr>
          <w:rFonts w:ascii="Verdana" w:hAnsi="Verdana" w:cs="Arial"/>
          <w:sz w:val="20"/>
          <w:szCs w:val="20"/>
        </w:rPr>
        <w:t>Las instrucciones del presen</w:t>
      </w:r>
      <w:r w:rsidR="49D11261" w:rsidRPr="13BE91A2">
        <w:rPr>
          <w:rFonts w:ascii="Verdana" w:hAnsi="Verdana" w:cs="Arial"/>
          <w:sz w:val="20"/>
          <w:szCs w:val="20"/>
        </w:rPr>
        <w:t>te capítulo son a</w:t>
      </w:r>
      <w:r w:rsidRPr="13BE91A2">
        <w:rPr>
          <w:rFonts w:ascii="Verdana" w:hAnsi="Verdana" w:cs="Arial"/>
          <w:sz w:val="20"/>
          <w:szCs w:val="20"/>
        </w:rPr>
        <w:t>plicables a las secciones especializadas de ahorro y crédito de las Cajas de Compensación Familiar, vigiladas por la</w:t>
      </w:r>
      <w:r w:rsidRPr="13BE91A2">
        <w:rPr>
          <w:rFonts w:ascii="Verdana" w:hAnsi="Verdana" w:cs="Arial"/>
          <w:sz w:val="20"/>
          <w:szCs w:val="20"/>
          <w:lang w:val="es-ES"/>
        </w:rPr>
        <w:t xml:space="preserve"> Superintendencia Financiera de Colombia, en los términos de la Ley 920 de 2004. </w:t>
      </w:r>
    </w:p>
    <w:p w14:paraId="0E01AA24" w14:textId="77777777" w:rsidR="00146225" w:rsidRDefault="00146225" w:rsidP="00146225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es-ES"/>
        </w:rPr>
      </w:pPr>
    </w:p>
    <w:p w14:paraId="1A4C3E02" w14:textId="49C7B899" w:rsidR="00414B05" w:rsidRPr="00237B3A" w:rsidRDefault="00414B05" w:rsidP="00146225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  <w:lang w:val="es-ES"/>
        </w:rPr>
      </w:pPr>
      <w:r w:rsidRPr="00237B3A">
        <w:rPr>
          <w:rFonts w:ascii="Verdana" w:hAnsi="Verdana" w:cs="Arial"/>
          <w:b/>
          <w:bCs/>
          <w:sz w:val="20"/>
          <w:szCs w:val="20"/>
          <w:lang w:val="es-ES"/>
        </w:rPr>
        <w:t xml:space="preserve">Definición y cálculo de la relación de solvencia </w:t>
      </w:r>
    </w:p>
    <w:p w14:paraId="79F38B4B" w14:textId="77777777" w:rsidR="00414B05" w:rsidRPr="00237B3A" w:rsidRDefault="00414B05" w:rsidP="00414B05">
      <w:pPr>
        <w:jc w:val="both"/>
        <w:rPr>
          <w:rFonts w:ascii="Verdana" w:hAnsi="Verdana" w:cs="Arial"/>
          <w:b/>
          <w:bCs/>
          <w:sz w:val="20"/>
          <w:szCs w:val="20"/>
          <w:lang w:val="es-ES"/>
        </w:rPr>
      </w:pPr>
    </w:p>
    <w:p w14:paraId="0E0CD8EE" w14:textId="56EFD4E8" w:rsidR="00146225" w:rsidRPr="00C47C65" w:rsidRDefault="00146225" w:rsidP="00146225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C47C65">
        <w:rPr>
          <w:rFonts w:ascii="Verdana" w:hAnsi="Verdana" w:cs="Arial"/>
          <w:bCs/>
          <w:sz w:val="20"/>
          <w:szCs w:val="20"/>
        </w:rPr>
        <w:t>2.6.</w:t>
      </w:r>
      <w:r>
        <w:rPr>
          <w:rFonts w:ascii="Verdana" w:hAnsi="Verdana" w:cs="Arial"/>
          <w:bCs/>
          <w:sz w:val="20"/>
          <w:szCs w:val="20"/>
        </w:rPr>
        <w:t>2</w:t>
      </w:r>
      <w:r w:rsidRPr="00C47C65">
        <w:rPr>
          <w:rFonts w:ascii="Verdana" w:hAnsi="Verdana" w:cs="Arial"/>
          <w:bCs/>
          <w:sz w:val="20"/>
          <w:szCs w:val="20"/>
        </w:rPr>
        <w:t>.</w:t>
      </w:r>
    </w:p>
    <w:p w14:paraId="0F33C1C6" w14:textId="6E60C60C" w:rsidR="00414B05" w:rsidRPr="00237B3A" w:rsidRDefault="00414B05" w:rsidP="00414B05">
      <w:pPr>
        <w:jc w:val="both"/>
        <w:rPr>
          <w:rFonts w:ascii="Verdana" w:hAnsi="Verdana" w:cs="Arial"/>
          <w:sz w:val="20"/>
          <w:szCs w:val="20"/>
          <w:lang w:val="es-ES"/>
        </w:rPr>
      </w:pPr>
      <w:r w:rsidRPr="13BE91A2">
        <w:rPr>
          <w:rFonts w:ascii="Verdana" w:hAnsi="Verdana" w:cs="Arial"/>
          <w:sz w:val="20"/>
          <w:szCs w:val="20"/>
          <w:lang w:val="es-ES"/>
        </w:rPr>
        <w:t xml:space="preserve">Las entidades destinatarias de las instrucciones del presente </w:t>
      </w:r>
      <w:r w:rsidR="490DCAF7" w:rsidRPr="13BE91A2">
        <w:rPr>
          <w:rFonts w:ascii="Verdana" w:hAnsi="Verdana" w:cs="Arial"/>
          <w:sz w:val="20"/>
          <w:szCs w:val="20"/>
          <w:lang w:val="es-ES"/>
        </w:rPr>
        <w:t>c</w:t>
      </w:r>
      <w:r w:rsidRPr="13BE91A2">
        <w:rPr>
          <w:rFonts w:ascii="Verdana" w:hAnsi="Verdana" w:cs="Arial"/>
          <w:sz w:val="20"/>
          <w:szCs w:val="20"/>
          <w:lang w:val="es-ES"/>
        </w:rPr>
        <w:t>apítulo deben cumplir permanentemente con una relación de solvencia de mínimo el 9%, la cual se debe calcular en los términos del artículo 5 del Decreto 2801 de 2005 y los artículos 8 y 9 del Decreto 343 de 2007, tal como se establece en la siguiente expresión:</w:t>
      </w:r>
    </w:p>
    <w:p w14:paraId="4F9D706B" w14:textId="77777777" w:rsidR="00414B05" w:rsidRPr="00237B3A" w:rsidRDefault="00414B05" w:rsidP="00414B05">
      <w:pPr>
        <w:rPr>
          <w:rFonts w:ascii="Verdana" w:eastAsiaTheme="minorEastAsia" w:hAnsi="Verdana"/>
          <w:sz w:val="20"/>
          <w:szCs w:val="20"/>
          <w:lang w:val="es-ES"/>
        </w:rPr>
      </w:pPr>
    </w:p>
    <w:p w14:paraId="65EE8825" w14:textId="77777777" w:rsidR="00414B05" w:rsidRPr="00237B3A" w:rsidRDefault="00414B05" w:rsidP="00414B05">
      <w:pPr>
        <w:rPr>
          <w:rFonts w:ascii="Verdana" w:hAnsi="Verdana"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Relación mínima de solvencia= 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Patrimonio básico-Deducciones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+Patrimonio adicional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APNR+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100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VeR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RM</m:t>
                      </m:r>
                    </m:sub>
                  </m:sSub>
                </m:e>
              </m:d>
            </m:den>
          </m:f>
        </m:oMath>
      </m:oMathPara>
    </w:p>
    <w:p w14:paraId="0AE9D407" w14:textId="77777777" w:rsidR="00414B05" w:rsidRPr="00237B3A" w:rsidRDefault="00414B05" w:rsidP="00414B05">
      <w:pPr>
        <w:rPr>
          <w:rFonts w:ascii="Verdana" w:eastAsiaTheme="minorEastAsia" w:hAnsi="Verdana"/>
          <w:sz w:val="20"/>
          <w:szCs w:val="20"/>
        </w:rPr>
      </w:pPr>
    </w:p>
    <w:p w14:paraId="596E1C90" w14:textId="77777777" w:rsidR="00414B05" w:rsidRPr="00237B3A" w:rsidRDefault="00414B05" w:rsidP="00414B05">
      <w:pPr>
        <w:rPr>
          <w:rFonts w:ascii="Verdana" w:hAnsi="Verdana" w:cs="Arial"/>
          <w:sz w:val="20"/>
          <w:szCs w:val="20"/>
          <w:lang w:val="es-ES"/>
        </w:rPr>
      </w:pPr>
      <w:r w:rsidRPr="00237B3A">
        <w:rPr>
          <w:rFonts w:ascii="Verdana" w:hAnsi="Verdana" w:cs="Arial"/>
          <w:sz w:val="20"/>
          <w:szCs w:val="20"/>
          <w:lang w:val="es-ES"/>
        </w:rPr>
        <w:t>Donde:</w:t>
      </w:r>
    </w:p>
    <w:p w14:paraId="7C5895AF" w14:textId="77777777" w:rsidR="00414B05" w:rsidRPr="00237B3A" w:rsidRDefault="00414B05" w:rsidP="00414B05">
      <w:pPr>
        <w:rPr>
          <w:rFonts w:ascii="Verdana" w:hAnsi="Verdana" w:cs="Arial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</w:rPr>
          <m:t>Patrimonio básico</m:t>
        </m:r>
      </m:oMath>
      <w:r w:rsidRPr="00237B3A">
        <w:rPr>
          <w:rFonts w:ascii="Verdana" w:hAnsi="Verdana"/>
          <w:sz w:val="20"/>
          <w:szCs w:val="20"/>
        </w:rPr>
        <w:t xml:space="preserve">: </w:t>
      </w:r>
      <w:r w:rsidRPr="00237B3A">
        <w:rPr>
          <w:rFonts w:ascii="Verdana" w:hAnsi="Verdana" w:cs="Arial"/>
          <w:sz w:val="20"/>
          <w:szCs w:val="20"/>
          <w:lang w:val="es-ES"/>
        </w:rPr>
        <w:t xml:space="preserve">corresponde al patrimonio básico calculado de acuerdo con el artículo 8 del Decreto 2801 de 2005. </w:t>
      </w:r>
    </w:p>
    <w:p w14:paraId="7F29021F" w14:textId="77777777" w:rsidR="00414B05" w:rsidRPr="00237B3A" w:rsidRDefault="00414B05" w:rsidP="00414B05">
      <w:pPr>
        <w:rPr>
          <w:rFonts w:ascii="Verdana" w:hAnsi="Verdana" w:cs="Arial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</w:rPr>
          <m:t>Deducciones</m:t>
        </m:r>
      </m:oMath>
      <w:r w:rsidRPr="00237B3A">
        <w:rPr>
          <w:rFonts w:ascii="Verdana" w:hAnsi="Verdana" w:cs="Arial"/>
          <w:sz w:val="20"/>
          <w:szCs w:val="20"/>
        </w:rPr>
        <w:t xml:space="preserve">: </w:t>
      </w:r>
      <w:r w:rsidRPr="00237B3A">
        <w:rPr>
          <w:rFonts w:ascii="Verdana" w:hAnsi="Verdana" w:cs="Arial"/>
          <w:sz w:val="20"/>
          <w:szCs w:val="20"/>
          <w:lang w:val="es-ES"/>
        </w:rPr>
        <w:t xml:space="preserve">corresponde a las deducciones reguladas en el artículo 9 del Decreto 2801 de 2005. </w:t>
      </w:r>
    </w:p>
    <w:p w14:paraId="2890028D" w14:textId="77777777" w:rsidR="00414B05" w:rsidRPr="00237B3A" w:rsidRDefault="00414B05" w:rsidP="00414B05">
      <w:pPr>
        <w:rPr>
          <w:rFonts w:ascii="Verdana" w:hAnsi="Verdana"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Patrimonio adicional</m:t>
        </m:r>
      </m:oMath>
      <w:r w:rsidRPr="00237B3A">
        <w:rPr>
          <w:rFonts w:ascii="Verdana" w:hAnsi="Verdana"/>
          <w:sz w:val="20"/>
          <w:szCs w:val="20"/>
        </w:rPr>
        <w:t xml:space="preserve">: </w:t>
      </w:r>
      <w:r w:rsidRPr="00237B3A">
        <w:rPr>
          <w:rFonts w:ascii="Verdana" w:hAnsi="Verdana" w:cs="Arial"/>
          <w:sz w:val="20"/>
          <w:szCs w:val="20"/>
          <w:lang w:val="es-ES"/>
        </w:rPr>
        <w:t>corresponde al patrimonio adicional definido en el artículo 10 del Decreto 2801 de 2005.</w:t>
      </w:r>
    </w:p>
    <w:p w14:paraId="27CAF44B" w14:textId="36C7F9FA" w:rsidR="00414B05" w:rsidRPr="00237B3A" w:rsidRDefault="00414B05" w:rsidP="00414B05">
      <w:pPr>
        <w:rPr>
          <w:rFonts w:ascii="Verdana" w:hAnsi="Verdana" w:cs="Arial"/>
          <w:sz w:val="20"/>
          <w:szCs w:val="20"/>
          <w:lang w:val="es-ES"/>
        </w:rPr>
      </w:pPr>
      <m:oMath>
        <m:r>
          <w:rPr>
            <w:rFonts w:ascii="Cambria Math" w:hAnsi="Cambria Math"/>
            <w:sz w:val="20"/>
            <w:szCs w:val="20"/>
          </w:rPr>
          <m:t>APNR</m:t>
        </m:r>
      </m:oMath>
      <w:r w:rsidRPr="00237B3A">
        <w:rPr>
          <w:rFonts w:ascii="Verdana" w:hAnsi="Verdana"/>
          <w:sz w:val="20"/>
          <w:szCs w:val="20"/>
        </w:rPr>
        <w:t xml:space="preserve">: </w:t>
      </w:r>
      <w:r w:rsidRPr="00237B3A">
        <w:rPr>
          <w:rFonts w:ascii="Verdana" w:hAnsi="Verdana" w:cs="Arial"/>
          <w:sz w:val="20"/>
          <w:szCs w:val="20"/>
          <w:lang w:val="es-ES"/>
        </w:rPr>
        <w:t xml:space="preserve">corresponde a los activos ponderados por nivel de riesgo crediticio, calculados de acuerdo con el </w:t>
      </w:r>
      <w:r w:rsidR="004B1F95">
        <w:rPr>
          <w:rFonts w:ascii="Verdana" w:hAnsi="Verdana" w:cs="Arial"/>
          <w:sz w:val="20"/>
          <w:szCs w:val="20"/>
          <w:lang w:val="es-ES"/>
        </w:rPr>
        <w:t>párrafo 2.6.</w:t>
      </w:r>
      <w:r w:rsidRPr="00237B3A">
        <w:rPr>
          <w:rFonts w:ascii="Verdana" w:hAnsi="Verdana" w:cs="Arial"/>
          <w:sz w:val="20"/>
          <w:szCs w:val="20"/>
          <w:lang w:val="es-ES"/>
        </w:rPr>
        <w:t>3</w:t>
      </w:r>
      <w:r w:rsidR="004B1F95">
        <w:rPr>
          <w:rFonts w:ascii="Verdana" w:hAnsi="Verdana" w:cs="Arial"/>
          <w:sz w:val="20"/>
          <w:szCs w:val="20"/>
          <w:lang w:val="es-ES"/>
        </w:rPr>
        <w:t>.</w:t>
      </w:r>
      <w:r w:rsidRPr="00237B3A">
        <w:rPr>
          <w:rFonts w:ascii="Verdana" w:hAnsi="Verdana" w:cs="Arial"/>
          <w:sz w:val="20"/>
          <w:szCs w:val="20"/>
          <w:lang w:val="es-ES"/>
        </w:rPr>
        <w:t xml:space="preserve"> del presente capítulo.</w:t>
      </w:r>
    </w:p>
    <w:p w14:paraId="2173E952" w14:textId="30CDB314" w:rsidR="00414B05" w:rsidRPr="00237B3A" w:rsidRDefault="00D22CA3" w:rsidP="00414B05">
      <w:pPr>
        <w:rPr>
          <w:rFonts w:ascii="Verdana" w:hAnsi="Verdana" w:cs="Arial"/>
          <w:sz w:val="20"/>
          <w:szCs w:val="20"/>
          <w:lang w:val="es-ES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VeR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</m:t>
            </m:r>
          </m:sub>
        </m:sSub>
      </m:oMath>
      <w:r w:rsidR="00414B05" w:rsidRPr="00237B3A">
        <w:rPr>
          <w:rFonts w:ascii="Verdana" w:hAnsi="Verdana" w:cs="Arial"/>
          <w:sz w:val="20"/>
          <w:szCs w:val="20"/>
        </w:rPr>
        <w:t xml:space="preserve">: </w:t>
      </w:r>
      <w:r w:rsidR="00414B05" w:rsidRPr="00237B3A">
        <w:rPr>
          <w:rFonts w:ascii="Verdana" w:hAnsi="Verdana" w:cs="Arial"/>
          <w:sz w:val="20"/>
          <w:szCs w:val="20"/>
          <w:lang w:val="es-ES"/>
        </w:rPr>
        <w:t xml:space="preserve">corresponde a los requerimientos por riesgo de mercado, calculados de acuerdo con el </w:t>
      </w:r>
      <w:r w:rsidR="004B1F95">
        <w:rPr>
          <w:rFonts w:ascii="Verdana" w:hAnsi="Verdana" w:cs="Arial"/>
          <w:sz w:val="20"/>
          <w:szCs w:val="20"/>
          <w:lang w:val="es-ES"/>
        </w:rPr>
        <w:t xml:space="preserve">párrafo 2.6.4. </w:t>
      </w:r>
      <w:r w:rsidR="00414B05" w:rsidRPr="00237B3A">
        <w:rPr>
          <w:rFonts w:ascii="Verdana" w:hAnsi="Verdana" w:cs="Arial"/>
          <w:sz w:val="20"/>
          <w:szCs w:val="20"/>
          <w:lang w:val="es-ES"/>
        </w:rPr>
        <w:t xml:space="preserve">presente capítulo. </w:t>
      </w:r>
    </w:p>
    <w:p w14:paraId="58DF23EE" w14:textId="77777777" w:rsidR="00414B05" w:rsidRPr="00237B3A" w:rsidRDefault="00414B05" w:rsidP="008705CF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  <w:lang w:val="es-ES"/>
        </w:rPr>
      </w:pPr>
      <w:r w:rsidRPr="00237B3A">
        <w:rPr>
          <w:rFonts w:ascii="Verdana" w:hAnsi="Verdana" w:cs="Arial"/>
          <w:b/>
          <w:bCs/>
          <w:sz w:val="20"/>
          <w:szCs w:val="20"/>
          <w:lang w:val="es-ES"/>
        </w:rPr>
        <w:t xml:space="preserve">Activos ponderados por nivel de riesgo crediticio </w:t>
      </w:r>
    </w:p>
    <w:p w14:paraId="643CF223" w14:textId="77777777" w:rsidR="00AB0FCB" w:rsidRDefault="00AB0FCB" w:rsidP="006D33D8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2E66261B" w14:textId="5A5E06EF" w:rsidR="006D33D8" w:rsidRPr="00C47C65" w:rsidRDefault="006D33D8" w:rsidP="006D33D8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C47C65">
        <w:rPr>
          <w:rFonts w:ascii="Verdana" w:hAnsi="Verdana" w:cs="Arial"/>
          <w:bCs/>
          <w:sz w:val="20"/>
          <w:szCs w:val="20"/>
        </w:rPr>
        <w:t>2.6.</w:t>
      </w:r>
      <w:r>
        <w:rPr>
          <w:rFonts w:ascii="Verdana" w:hAnsi="Verdana" w:cs="Arial"/>
          <w:bCs/>
          <w:sz w:val="20"/>
          <w:szCs w:val="20"/>
        </w:rPr>
        <w:t>3</w:t>
      </w:r>
      <w:r w:rsidRPr="00C47C65">
        <w:rPr>
          <w:rFonts w:ascii="Verdana" w:hAnsi="Verdana" w:cs="Arial"/>
          <w:bCs/>
          <w:sz w:val="20"/>
          <w:szCs w:val="20"/>
        </w:rPr>
        <w:t>.</w:t>
      </w:r>
    </w:p>
    <w:p w14:paraId="544D9D1F" w14:textId="77777777" w:rsidR="00414B05" w:rsidRPr="00237B3A" w:rsidRDefault="00414B05" w:rsidP="00414B05">
      <w:pPr>
        <w:jc w:val="both"/>
        <w:rPr>
          <w:rFonts w:ascii="Verdana" w:hAnsi="Verdana" w:cs="Arial"/>
          <w:sz w:val="20"/>
          <w:szCs w:val="20"/>
          <w:lang w:val="es-ES"/>
        </w:rPr>
      </w:pPr>
      <w:r w:rsidRPr="00237B3A">
        <w:rPr>
          <w:rFonts w:ascii="Verdana" w:hAnsi="Verdana" w:cs="Arial"/>
          <w:sz w:val="20"/>
          <w:szCs w:val="20"/>
          <w:lang w:val="es-ES"/>
        </w:rPr>
        <w:t xml:space="preserve">Para calcular la relación mínima de solvencia, las secciones especializadas de ahorro y crédito de las Cajas de Compensación Familiar deben computar el valor de todos los activos y contingencias registrados en el Catálogo Único de Información Financiera con Fines de Supervisión (CUIF), netos de provisiones de carácter individual, los cuales deben clasificarse y ponderarse de acuerdo con las categorías previstas en los Decretos 2801 de 2005 y 343 de 2007.  </w:t>
      </w:r>
    </w:p>
    <w:p w14:paraId="2B21D37B" w14:textId="77777777" w:rsidR="00414B05" w:rsidRPr="00237B3A" w:rsidRDefault="00414B05" w:rsidP="008705CF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  <w:lang w:val="es-ES"/>
        </w:rPr>
      </w:pPr>
      <w:r w:rsidRPr="00237B3A">
        <w:rPr>
          <w:rFonts w:ascii="Verdana" w:hAnsi="Verdana" w:cs="Arial"/>
          <w:b/>
          <w:bCs/>
          <w:sz w:val="20"/>
          <w:szCs w:val="20"/>
          <w:lang w:val="es-ES"/>
        </w:rPr>
        <w:t>Requerimientos por riesgo de mercado</w:t>
      </w:r>
    </w:p>
    <w:p w14:paraId="38A90929" w14:textId="77777777" w:rsidR="004B1F95" w:rsidRDefault="004B1F95" w:rsidP="006D33D8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4417DEF0" w14:textId="30FB6D9E" w:rsidR="006D33D8" w:rsidRPr="00C47C65" w:rsidRDefault="006D33D8" w:rsidP="006D33D8">
      <w:pPr>
        <w:tabs>
          <w:tab w:val="left" w:pos="540"/>
        </w:tabs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C47C65">
        <w:rPr>
          <w:rFonts w:ascii="Verdana" w:hAnsi="Verdana" w:cs="Arial"/>
          <w:bCs/>
          <w:sz w:val="20"/>
          <w:szCs w:val="20"/>
        </w:rPr>
        <w:t>2.6.</w:t>
      </w:r>
      <w:r>
        <w:rPr>
          <w:rFonts w:ascii="Verdana" w:hAnsi="Verdana" w:cs="Arial"/>
          <w:bCs/>
          <w:sz w:val="20"/>
          <w:szCs w:val="20"/>
        </w:rPr>
        <w:t>4</w:t>
      </w:r>
      <w:r w:rsidRPr="00C47C65">
        <w:rPr>
          <w:rFonts w:ascii="Verdana" w:hAnsi="Verdana" w:cs="Arial"/>
          <w:bCs/>
          <w:sz w:val="20"/>
          <w:szCs w:val="20"/>
        </w:rPr>
        <w:t>.</w:t>
      </w:r>
    </w:p>
    <w:p w14:paraId="7C539B5E" w14:textId="52FD0DD9" w:rsidR="00414B05" w:rsidRPr="003D315E" w:rsidRDefault="00414B05" w:rsidP="000F2E47">
      <w:pPr>
        <w:rPr>
          <w:rFonts w:ascii="Verdana" w:hAnsi="Verdana" w:cs="Arial"/>
          <w:sz w:val="20"/>
          <w:szCs w:val="20"/>
          <w:lang w:val="es-ES"/>
        </w:rPr>
      </w:pPr>
      <w:r w:rsidRPr="00237B3A">
        <w:rPr>
          <w:rFonts w:ascii="Verdana" w:hAnsi="Verdana" w:cs="Arial"/>
          <w:sz w:val="20"/>
          <w:szCs w:val="20"/>
          <w:lang w:val="es-ES"/>
        </w:rPr>
        <w:t xml:space="preserve">El valor de la exposición al riesgo de mercado se calculará a partir del valor en riesgo </w:t>
      </w:r>
      <m:oMath>
        <m:r>
          <w:rPr>
            <w:rFonts w:ascii="Cambria Math" w:hAnsi="Cambria Math" w:cs="Arial"/>
            <w:sz w:val="20"/>
            <w:szCs w:val="20"/>
            <w:lang w:val="es-ES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VeR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RM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237B3A">
        <w:rPr>
          <w:rFonts w:ascii="Verdana" w:hAnsi="Verdana" w:cs="Arial"/>
          <w:sz w:val="20"/>
          <w:szCs w:val="20"/>
          <w:lang w:val="es-ES"/>
        </w:rPr>
        <w:t xml:space="preserve"> calculado de acuerdo con lo previsto en el </w:t>
      </w:r>
      <w:r w:rsidR="00394285">
        <w:rPr>
          <w:rFonts w:ascii="Verdana" w:hAnsi="Verdana" w:cs="Arial"/>
          <w:sz w:val="20"/>
          <w:szCs w:val="20"/>
          <w:lang w:val="es-ES"/>
        </w:rPr>
        <w:t>a</w:t>
      </w:r>
      <w:r w:rsidRPr="003D315E">
        <w:rPr>
          <w:rFonts w:ascii="Verdana" w:hAnsi="Verdana" w:cs="Arial"/>
          <w:sz w:val="20"/>
          <w:szCs w:val="20"/>
          <w:lang w:val="es-ES"/>
        </w:rPr>
        <w:t xml:space="preserve">nexo 6 del </w:t>
      </w:r>
      <w:r w:rsidR="00EA1A95" w:rsidRPr="003D315E">
        <w:rPr>
          <w:rFonts w:ascii="Verdana" w:hAnsi="Verdana" w:cs="Arial"/>
          <w:sz w:val="20"/>
          <w:szCs w:val="20"/>
          <w:lang w:val="es-ES"/>
        </w:rPr>
        <w:t>c</w:t>
      </w:r>
      <w:r w:rsidRPr="003D315E">
        <w:rPr>
          <w:rFonts w:ascii="Verdana" w:hAnsi="Verdana" w:cs="Arial"/>
          <w:sz w:val="20"/>
          <w:szCs w:val="20"/>
          <w:lang w:val="es-ES"/>
        </w:rPr>
        <w:t xml:space="preserve">apítulo </w:t>
      </w:r>
      <w:r w:rsidR="00EA1A95" w:rsidRPr="003D315E">
        <w:rPr>
          <w:rFonts w:ascii="Verdana" w:hAnsi="Verdana" w:cs="Arial"/>
          <w:sz w:val="20"/>
          <w:szCs w:val="20"/>
          <w:lang w:val="es-ES"/>
        </w:rPr>
        <w:t xml:space="preserve">1 de la parte 1 de la </w:t>
      </w:r>
      <w:r w:rsidRPr="003D315E">
        <w:rPr>
          <w:rFonts w:ascii="Verdana" w:hAnsi="Verdana" w:cs="Arial"/>
          <w:sz w:val="20"/>
          <w:szCs w:val="20"/>
          <w:lang w:val="es-ES"/>
        </w:rPr>
        <w:t>CB</w:t>
      </w:r>
      <w:r w:rsidR="003D315E" w:rsidRPr="003D315E">
        <w:rPr>
          <w:rFonts w:ascii="Verdana" w:hAnsi="Verdana" w:cs="Arial"/>
          <w:sz w:val="20"/>
          <w:szCs w:val="20"/>
          <w:lang w:val="es-ES"/>
        </w:rPr>
        <w:t>F</w:t>
      </w:r>
      <w:r w:rsidRPr="003D315E">
        <w:rPr>
          <w:rFonts w:ascii="Verdana" w:hAnsi="Verdana" w:cs="Arial"/>
          <w:sz w:val="20"/>
          <w:szCs w:val="20"/>
          <w:lang w:val="es-ES"/>
        </w:rPr>
        <w:t>.</w:t>
      </w:r>
      <w:r w:rsidRPr="00237B3A">
        <w:rPr>
          <w:rFonts w:ascii="Verdana" w:hAnsi="Verdana" w:cs="Arial"/>
          <w:sz w:val="20"/>
          <w:szCs w:val="20"/>
          <w:lang w:val="es-ES"/>
        </w:rPr>
        <w:t xml:space="preserve"> </w:t>
      </w:r>
    </w:p>
    <w:sectPr w:rsidR="00414B05" w:rsidRPr="003D315E" w:rsidSect="003C558F">
      <w:headerReference w:type="default" r:id="rId10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B688" w14:textId="77777777" w:rsidR="00F442AA" w:rsidRDefault="00F442AA" w:rsidP="00057BF6">
      <w:pPr>
        <w:spacing w:after="0" w:line="240" w:lineRule="auto"/>
      </w:pPr>
      <w:r>
        <w:separator/>
      </w:r>
    </w:p>
  </w:endnote>
  <w:endnote w:type="continuationSeparator" w:id="0">
    <w:p w14:paraId="7CDF98A5" w14:textId="77777777" w:rsidR="00F442AA" w:rsidRDefault="00F442AA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10402" w14:textId="77777777" w:rsidR="00F442AA" w:rsidRDefault="00F442AA" w:rsidP="00057BF6">
      <w:pPr>
        <w:spacing w:after="0" w:line="240" w:lineRule="auto"/>
      </w:pPr>
      <w:r>
        <w:separator/>
      </w:r>
    </w:p>
  </w:footnote>
  <w:footnote w:type="continuationSeparator" w:id="0">
    <w:p w14:paraId="3F974861" w14:textId="77777777" w:rsidR="00F442AA" w:rsidRDefault="00F442AA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Header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64AA4"/>
    <w:multiLevelType w:val="hybridMultilevel"/>
    <w:tmpl w:val="63F643A4"/>
    <w:lvl w:ilvl="0" w:tplc="3A621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678432656">
    <w:abstractNumId w:val="1"/>
  </w:num>
  <w:num w:numId="2" w16cid:durableId="2062635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57BF6"/>
    <w:rsid w:val="0006736C"/>
    <w:rsid w:val="000F2E47"/>
    <w:rsid w:val="000F6F4D"/>
    <w:rsid w:val="00146225"/>
    <w:rsid w:val="001B5187"/>
    <w:rsid w:val="0021666A"/>
    <w:rsid w:val="00237B3A"/>
    <w:rsid w:val="002B4F4A"/>
    <w:rsid w:val="002F5CF4"/>
    <w:rsid w:val="002F714C"/>
    <w:rsid w:val="00394285"/>
    <w:rsid w:val="003A5CFE"/>
    <w:rsid w:val="003C558F"/>
    <w:rsid w:val="003D28AD"/>
    <w:rsid w:val="003D315E"/>
    <w:rsid w:val="0040498E"/>
    <w:rsid w:val="00405030"/>
    <w:rsid w:val="00406D2B"/>
    <w:rsid w:val="00414B05"/>
    <w:rsid w:val="0043223D"/>
    <w:rsid w:val="004551BD"/>
    <w:rsid w:val="0045560C"/>
    <w:rsid w:val="0048462C"/>
    <w:rsid w:val="004A499A"/>
    <w:rsid w:val="004B1F95"/>
    <w:rsid w:val="00557351"/>
    <w:rsid w:val="0055785C"/>
    <w:rsid w:val="00596B88"/>
    <w:rsid w:val="0061423F"/>
    <w:rsid w:val="0067179A"/>
    <w:rsid w:val="00672511"/>
    <w:rsid w:val="006B11D4"/>
    <w:rsid w:val="006D33D8"/>
    <w:rsid w:val="00721D02"/>
    <w:rsid w:val="007A302E"/>
    <w:rsid w:val="007C2679"/>
    <w:rsid w:val="007E75A7"/>
    <w:rsid w:val="00835A2E"/>
    <w:rsid w:val="008705CF"/>
    <w:rsid w:val="00874804"/>
    <w:rsid w:val="008E7694"/>
    <w:rsid w:val="00956C7B"/>
    <w:rsid w:val="00956EC8"/>
    <w:rsid w:val="009571FD"/>
    <w:rsid w:val="0098556F"/>
    <w:rsid w:val="009929F6"/>
    <w:rsid w:val="009A2823"/>
    <w:rsid w:val="009B1005"/>
    <w:rsid w:val="009B6D85"/>
    <w:rsid w:val="009D6127"/>
    <w:rsid w:val="00A41E5E"/>
    <w:rsid w:val="00A97A7F"/>
    <w:rsid w:val="00AB0FCB"/>
    <w:rsid w:val="00AD4E4F"/>
    <w:rsid w:val="00AF6DBC"/>
    <w:rsid w:val="00B56612"/>
    <w:rsid w:val="00B637E0"/>
    <w:rsid w:val="00BA2DC9"/>
    <w:rsid w:val="00C47C65"/>
    <w:rsid w:val="00CC3647"/>
    <w:rsid w:val="00CC6142"/>
    <w:rsid w:val="00D22CA3"/>
    <w:rsid w:val="00D33E3D"/>
    <w:rsid w:val="00DA0C0E"/>
    <w:rsid w:val="00DB3370"/>
    <w:rsid w:val="00DF0FF1"/>
    <w:rsid w:val="00E02BAA"/>
    <w:rsid w:val="00E03CCC"/>
    <w:rsid w:val="00EA1A95"/>
    <w:rsid w:val="00EE36AF"/>
    <w:rsid w:val="00F16507"/>
    <w:rsid w:val="00F442AA"/>
    <w:rsid w:val="00F751AA"/>
    <w:rsid w:val="13BE91A2"/>
    <w:rsid w:val="18B13D27"/>
    <w:rsid w:val="1F84EDFF"/>
    <w:rsid w:val="291F3C96"/>
    <w:rsid w:val="468C86A3"/>
    <w:rsid w:val="490DCAF7"/>
    <w:rsid w:val="49D11261"/>
    <w:rsid w:val="533E2382"/>
    <w:rsid w:val="63936589"/>
    <w:rsid w:val="6C23E4EB"/>
    <w:rsid w:val="6F44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55A74"/>
  <w15:chartTrackingRefBased/>
  <w15:docId w15:val="{7233A405-0D2A-4A4C-94CA-843180EF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6D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D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6D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D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BF6"/>
  </w:style>
  <w:style w:type="paragraph" w:styleId="Footer">
    <w:name w:val="footer"/>
    <w:basedOn w:val="Normal"/>
    <w:link w:val="FooterCh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BF6"/>
  </w:style>
  <w:style w:type="paragraph" w:styleId="Revision">
    <w:name w:val="Revision"/>
    <w:hidden/>
    <w:uiPriority w:val="99"/>
    <w:semiHidden/>
    <w:rsid w:val="004A49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A9070A-0DB6-4784-8D73-99DF420FA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FF0E48-35D5-4BAC-889B-383B8F140A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352</Words>
  <Characters>1913</Characters>
  <Application>Microsoft Office Word</Application>
  <DocSecurity>4</DocSecurity>
  <Lines>50</Lines>
  <Paragraphs>23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Superintendencia Financiera </cp:lastModifiedBy>
  <cp:revision>67</cp:revision>
  <dcterms:created xsi:type="dcterms:W3CDTF">2025-04-09T14:04:00Z</dcterms:created>
  <dcterms:modified xsi:type="dcterms:W3CDTF">2026-04-13T16:09:00Z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76300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